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1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3952"/>
        <w:gridCol w:w="3952"/>
        <w:gridCol w:w="1170"/>
        <w:gridCol w:w="1116"/>
      </w:tblGrid>
      <w:tr w:rsidR="009F38AD">
        <w:trPr>
          <w:trHeight w:val="270"/>
        </w:trPr>
        <w:tc>
          <w:tcPr>
            <w:tcW w:w="0" w:type="auto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/>
                <w:sz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/>
                <w:sz w:val="20"/>
              </w:rPr>
              <w:br/>
            </w:r>
            <w:r>
              <w:rPr>
                <w:rFonts w:ascii="Times New Roman" w:eastAsia="Times New Roman" w:hAnsi="Times New Roman"/>
                <w:i/>
                <w:sz w:val="20"/>
              </w:rPr>
              <w:t>(в ред. от 31 декабря 2015 г.)</w:t>
            </w:r>
          </w:p>
        </w:tc>
      </w:tr>
      <w:tr w:rsidR="009F38AD">
        <w:trPr>
          <w:trHeight w:val="27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7"/>
              </w:rPr>
              <w:t>ПОЯСНИТЕЛЬНАЯ ЗАПИСКА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Default="009F38AD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Default="009F38AD">
            <w:pPr>
              <w:rPr>
                <w:sz w:val="24"/>
              </w:rPr>
            </w:pPr>
          </w:p>
        </w:tc>
      </w:tr>
      <w:tr w:rsidR="009F38AD">
        <w:trPr>
          <w:trHeight w:val="255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D0A4A" w:rsidRPr="001D0A4A" w:rsidRDefault="009A6D35" w:rsidP="001D0A4A">
            <w:pPr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к отчету об исполнении </w:t>
            </w:r>
            <w:r w:rsidR="001D0A4A">
              <w:rPr>
                <w:rFonts w:ascii="Times New Roman" w:eastAsia="Times New Roman" w:hAnsi="Times New Roman"/>
                <w:b/>
                <w:sz w:val="24"/>
              </w:rPr>
              <w:t xml:space="preserve">бюджета </w:t>
            </w:r>
            <w:proofErr w:type="spellStart"/>
            <w:r w:rsidR="001D0A4A" w:rsidRPr="001D0A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Богородск</w:t>
            </w:r>
            <w:r w:rsidR="008D48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ого</w:t>
            </w:r>
            <w:proofErr w:type="spellEnd"/>
            <w:r w:rsidR="008D48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городского</w:t>
            </w:r>
            <w:r w:rsidR="001D0A4A" w:rsidRPr="001D0A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округ</w:t>
            </w:r>
            <w:r w:rsidR="008D48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="001D0A4A" w:rsidRPr="001D0A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48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2020 год</w:t>
            </w:r>
          </w:p>
          <w:p w:rsidR="001D0A4A" w:rsidRDefault="001D0A4A" w:rsidP="001D0A4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1D0A4A" w:rsidRDefault="001D0A4A" w:rsidP="001D0A4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КОДЫ</w:t>
            </w:r>
          </w:p>
        </w:tc>
      </w:tr>
      <w:tr w:rsidR="009F38AD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Default="009F38AD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Форма по ОКУД</w:t>
            </w:r>
          </w:p>
        </w:tc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0503360</w:t>
            </w:r>
          </w:p>
        </w:tc>
      </w:tr>
      <w:tr w:rsidR="009F38AD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 w:rsidP="008D482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 xml:space="preserve">                         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 Дата</w:t>
            </w:r>
          </w:p>
        </w:tc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01.01.2021</w:t>
            </w:r>
          </w:p>
        </w:tc>
      </w:tr>
      <w:tr w:rsidR="009F38AD">
        <w:trPr>
          <w:trHeight w:val="300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9F38AD">
        <w:trPr>
          <w:trHeight w:val="195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42769281</w:t>
            </w:r>
          </w:p>
        </w:tc>
      </w:tr>
      <w:tr w:rsidR="009F38AD">
        <w:trPr>
          <w:trHeight w:val="15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Наименование финансового органа Управление финансов администрации </w:t>
            </w:r>
            <w:proofErr w:type="spellStart"/>
            <w:r>
              <w:rPr>
                <w:rFonts w:ascii="Times New Roman" w:eastAsia="Times New Roman" w:hAnsi="Times New Roman"/>
                <w:sz w:val="20"/>
              </w:rPr>
              <w:t>Богородского</w:t>
            </w:r>
            <w:proofErr w:type="spellEnd"/>
            <w:r>
              <w:rPr>
                <w:rFonts w:ascii="Times New Roman" w:eastAsia="Times New Roman" w:hAnsi="Times New Roman"/>
                <w:sz w:val="20"/>
              </w:rPr>
              <w:t xml:space="preserve"> муниципального округа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922</w:t>
            </w:r>
          </w:p>
        </w:tc>
      </w:tr>
      <w:tr w:rsidR="009F38AD">
        <w:trPr>
          <w:trHeight w:val="22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Courier New" w:eastAsia="Courier New" w:hAnsi="Courier New"/>
                <w:b/>
                <w:sz w:val="16"/>
              </w:rPr>
              <w:t>  </w:t>
            </w:r>
          </w:p>
          <w:p w:rsidR="009F38AD" w:rsidRDefault="009A6D35">
            <w:pPr>
              <w:spacing w:line="22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Наименование бюджета Муниципальный бюджет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spacing w:line="22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 w:rsidP="009A6D35">
            <w:pPr>
              <w:spacing w:line="22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33719000</w:t>
            </w:r>
          </w:p>
        </w:tc>
      </w:tr>
      <w:tr w:rsidR="009F38AD">
        <w:trPr>
          <w:trHeight w:val="315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Периодичность:    месячная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9F38AD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Единица измерения: руб.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16"/>
              </w:rPr>
              <w:t xml:space="preserve">  </w:t>
            </w:r>
            <w:r>
              <w:rPr>
                <w:rFonts w:ascii="Times New Roman" w:eastAsia="Times New Roman" w:hAnsi="Times New Roman"/>
                <w:sz w:val="20"/>
              </w:rPr>
              <w:t>  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383</w:t>
            </w:r>
          </w:p>
        </w:tc>
      </w:tr>
      <w:tr w:rsidR="008D4821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Default="009F38AD">
            <w:pPr>
              <w:rPr>
                <w:sz w:val="24"/>
              </w:rPr>
            </w:pPr>
          </w:p>
        </w:tc>
      </w:tr>
      <w:tr w:rsidR="009F38AD">
        <w:trPr>
          <w:trHeight w:val="282"/>
        </w:trPr>
        <w:tc>
          <w:tcPr>
            <w:tcW w:w="0" w:type="auto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Default="009A6D35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</w:tbl>
    <w:p w:rsidR="009F38AD" w:rsidRPr="003072A7" w:rsidRDefault="009A6D35">
      <w:pPr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Раздел 1 «Организационная структура муниципального образования «</w:t>
      </w:r>
      <w:proofErr w:type="spellStart"/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Богородский</w:t>
      </w:r>
      <w:proofErr w:type="spellEnd"/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муниципальный округ Кировской области»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На 1 января 2020 года на территории округа функционировало 10 учреждений – органов управления: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Богородская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районная Дума, администрация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района, управление финансов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района, управление по социальным вопросам  администрации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района, администрации 1 городского и 1 сельского поселения, администрация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округа,  управление финансов администрации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округа, управление по социальным вопросам администрации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округа, Дума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округа. 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Согласно выписок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из ЕГРЮЛ в течение 2020 года прекратили свою деятельность следующие  учреждения: управление финансов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района 03.04.20,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Богородская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районная Дума 21.05.2020, администрация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района 19.06.20,  администрация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Ошланского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01.09.2020, управление по социальным вопросам администрации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района 14.12.2020, администрация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 31.12.2020. 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На 1 января 2021 года на территории округа функционирует 4  учреждения органов управления.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Образование в округе представлено 2 учреждениями: 1 дошкольным учреждением (детским садом «Солнышко»), 1 учреждение дополнительного образования – это Центр детского творчества.  </w:t>
      </w:r>
    </w:p>
    <w:p w:rsidR="009F38AD" w:rsidRPr="003072A7" w:rsidRDefault="009A6D35">
      <w:pPr>
        <w:ind w:right="-360"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lastRenderedPageBreak/>
        <w:t>Культура представлена 3 учреждениями - Централизованная библиотечная система и  Центр культуры и досуга и  1 учреждение дополнительного образования – это Детская музыкальная школа.  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Всего на территории округа на 1 января 2020 года функционировало 15 получателей бюджетных средств. 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Раздел 2 «Результаты деятельности муниципального образования «</w:t>
      </w:r>
      <w:proofErr w:type="spellStart"/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Богородский</w:t>
      </w:r>
      <w:proofErr w:type="spellEnd"/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муниципальный округ»</w:t>
      </w:r>
    </w:p>
    <w:p w:rsidR="009F38AD" w:rsidRPr="003072A7" w:rsidRDefault="009A6D35">
      <w:pPr>
        <w:ind w:firstLine="540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Показатели эффективности бюджетных расходов находятся на постоянном контроле всеми получателями бюджетных средств.</w:t>
      </w:r>
    </w:p>
    <w:p w:rsidR="009F38AD" w:rsidRPr="003072A7" w:rsidRDefault="009A6D35">
      <w:pPr>
        <w:ind w:firstLine="70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В целях организации деятельности органов  местного самоуправления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по повышению эффективности осуществления бюджетных расходов принята муниципальная программа «Повышение  эффективности бюджетных расходов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Кировской области на 2020-2024 годы», утвержденная постановлением администрации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 от 13.08.2020 № 309.</w:t>
      </w:r>
    </w:p>
    <w:p w:rsidR="009F38AD" w:rsidRPr="003072A7" w:rsidRDefault="009A6D35">
      <w:pPr>
        <w:ind w:firstLine="70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Базовым условием реализации Программы является: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обеспечение сбалансированности и устойчивости бюджета муниципального образования в среднесрочной перспективе;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повышение финансовой гибкости и устойчивости бюджета муниципального образования;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повышение эффективности распределения средств местного бюджета;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повышение    качества     финансового    контроля;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повышение  открытости   информации   о   деятельности органов местного самоуправления.       </w:t>
      </w:r>
    </w:p>
    <w:p w:rsidR="009F38AD" w:rsidRPr="003072A7" w:rsidRDefault="009A6D35">
      <w:pPr>
        <w:ind w:firstLine="70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         </w:t>
      </w:r>
    </w:p>
    <w:p w:rsidR="009F38AD" w:rsidRPr="003072A7" w:rsidRDefault="009A6D35">
      <w:pPr>
        <w:ind w:firstLine="700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Раздел 3 «Анализ отчета об исполнении бюджета муниципального образования «</w:t>
      </w:r>
      <w:proofErr w:type="spellStart"/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Богородский</w:t>
      </w:r>
      <w:proofErr w:type="spellEnd"/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муниципальный округ »</w:t>
      </w:r>
    </w:p>
    <w:p w:rsidR="009F38AD" w:rsidRPr="003072A7" w:rsidRDefault="009A6D35">
      <w:pPr>
        <w:ind w:firstLine="540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540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Исполнение бюджета по доходам</w:t>
      </w:r>
    </w:p>
    <w:p w:rsidR="009F38AD" w:rsidRPr="003072A7" w:rsidRDefault="009A6D35">
      <w:pPr>
        <w:ind w:firstLine="540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E53E4" w:rsidRPr="001657DE" w:rsidRDefault="003203E3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gramStart"/>
      <w:r w:rsidR="008E53E4" w:rsidRPr="001657DE">
        <w:rPr>
          <w:rFonts w:ascii="Times New Roman" w:hAnsi="Times New Roman" w:cs="Times New Roman"/>
          <w:b/>
          <w:sz w:val="28"/>
          <w:szCs w:val="28"/>
        </w:rPr>
        <w:t xml:space="preserve">Бюджетные назначения  бюджета </w:t>
      </w:r>
      <w:proofErr w:type="spellStart"/>
      <w:r w:rsidR="008E53E4" w:rsidRPr="001657DE"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="008E53E4" w:rsidRPr="001657DE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  <w:r w:rsidR="008E53E4" w:rsidRPr="001657DE">
        <w:rPr>
          <w:rFonts w:ascii="Times New Roman" w:hAnsi="Times New Roman" w:cs="Times New Roman"/>
          <w:sz w:val="28"/>
          <w:szCs w:val="28"/>
        </w:rPr>
        <w:t xml:space="preserve"> по доходам исполнены за 2020 год на 101,5 %  (плановые назначения 98 161,5 тыс. руб., фактическое поступление 99 625,2 тыс. руб.), в том числе: по налоговым, неналоговым доходам  исполнены на 112,6 % к  годовым плановым назначениям: уточненный годовой план  21 277,1 тыс. руб., фактически поступило 23 957,3 тыс. руб.</w:t>
      </w:r>
      <w:proofErr w:type="gramEnd"/>
    </w:p>
    <w:p w:rsidR="008E53E4" w:rsidRPr="001657DE" w:rsidRDefault="008E53E4" w:rsidP="008E53E4">
      <w:pPr>
        <w:pStyle w:val="a3"/>
        <w:ind w:right="-1"/>
        <w:jc w:val="both"/>
        <w:rPr>
          <w:szCs w:val="28"/>
        </w:rPr>
      </w:pPr>
      <w:r w:rsidRPr="001657DE">
        <w:rPr>
          <w:szCs w:val="28"/>
        </w:rPr>
        <w:t xml:space="preserve">         По сравнению с тем же периодом прошлого года в целом налоговые и неналоговые доходы снизились на 5 411,9  тыс</w:t>
      </w:r>
      <w:proofErr w:type="gramStart"/>
      <w:r w:rsidRPr="001657DE">
        <w:rPr>
          <w:szCs w:val="28"/>
        </w:rPr>
        <w:t>.р</w:t>
      </w:r>
      <w:proofErr w:type="gramEnd"/>
      <w:r w:rsidRPr="001657DE">
        <w:rPr>
          <w:szCs w:val="28"/>
        </w:rPr>
        <w:t>уб. по причине изменения нормативов и порядка зачисления доходов при преобразовании муниципального района в муниципальный округ</w:t>
      </w:r>
      <w:r>
        <w:rPr>
          <w:szCs w:val="28"/>
        </w:rPr>
        <w:t>.</w:t>
      </w:r>
      <w:r w:rsidRPr="001657DE">
        <w:rPr>
          <w:szCs w:val="28"/>
        </w:rPr>
        <w:t xml:space="preserve"> </w:t>
      </w:r>
    </w:p>
    <w:p w:rsidR="008E53E4" w:rsidRPr="001657DE" w:rsidRDefault="008E53E4" w:rsidP="008E53E4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lastRenderedPageBreak/>
        <w:t>Доля налоговых поступлений за 2020 год в общей сумме дохода (99 625,2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уб.) составляет 19,2 % или 19 191,4 тыс.руб.</w:t>
      </w:r>
    </w:p>
    <w:p w:rsidR="008E53E4" w:rsidRPr="001657DE" w:rsidRDefault="008E53E4" w:rsidP="008E53E4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Доля неналоговых 4,8 % или 4 765,9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</w:t>
      </w:r>
    </w:p>
    <w:p w:rsidR="008E53E4" w:rsidRPr="001657DE" w:rsidRDefault="008E53E4" w:rsidP="008E53E4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Доля налоговых и неналоговых доходов в бюджете округа составляет 24,0 % или 23 957,3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 xml:space="preserve">уб. </w:t>
      </w:r>
    </w:p>
    <w:p w:rsidR="008E53E4" w:rsidRPr="001657DE" w:rsidRDefault="008E53E4" w:rsidP="008E53E4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Безвозмездные поступления составляют 76,0 % или 75 667,9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 xml:space="preserve">уб. 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         Наибольший удельный вес в объеме всех доходов занимает налог на доходы физических лиц 12 851,3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 xml:space="preserve">уб. или 12,9 %. </w:t>
      </w:r>
    </w:p>
    <w:p w:rsidR="008E53E4" w:rsidRPr="001657DE" w:rsidRDefault="008E53E4" w:rsidP="008E53E4">
      <w:pPr>
        <w:ind w:right="-1" w:hanging="143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            За 2020 год  сумма  безвозмездных поступлений составила 75 667,9 тыс.  руб. при годовом плане 76 884,4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 или  98,4 % , из них:</w:t>
      </w:r>
    </w:p>
    <w:p w:rsidR="008E53E4" w:rsidRPr="001657DE" w:rsidRDefault="008E53E4" w:rsidP="008E53E4">
      <w:pPr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- дотаций бюджетам бюджетной системы РФ поступило в сумме 29 130,3 тыс. руб.  при плане 29 130,3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 или 100 %;</w:t>
      </w:r>
    </w:p>
    <w:p w:rsidR="008E53E4" w:rsidRPr="001657DE" w:rsidRDefault="008E53E4" w:rsidP="008E53E4">
      <w:pPr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- субсидий бюджетам бюджетной системы РФ поступило 37 328,5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 xml:space="preserve">уб. при годовом плане 38 380,5 тыс.руб. или 97,3 %;  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-субвенций бюджетам бюджетной системы РФ поступило 7 853,4 тыс.  руб. при годовом плане 8 017,9 тыс. руб. или 97,9 %.;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- прочих межбюджетных трансфертов при плане 1 355,7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 поступило 100%;</w:t>
      </w:r>
    </w:p>
    <w:p w:rsidR="008E53E4" w:rsidRPr="001657DE" w:rsidRDefault="008E53E4" w:rsidP="008E53E4">
      <w:pPr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- неиспользованных остатков межбюджетных трансфертов за 2020 год  11,8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 (субвенции бюджетам городских округов на выполнение передаваемых полномочий субъектов Российской Федерации ( по поддержке сельскохозяйственного производства, за исключением реализации мероприятий, предусмотренных федеральными целевыми программами,  в том числе на содержание органов местного самоуправления, осуществляющих государственные полномочия).</w:t>
      </w:r>
    </w:p>
    <w:tbl>
      <w:tblPr>
        <w:tblW w:w="10075" w:type="dxa"/>
        <w:tblInd w:w="98" w:type="dxa"/>
        <w:tblLayout w:type="fixed"/>
        <w:tblLook w:val="04A0"/>
      </w:tblPr>
      <w:tblGrid>
        <w:gridCol w:w="4972"/>
        <w:gridCol w:w="1984"/>
        <w:gridCol w:w="1701"/>
        <w:gridCol w:w="1418"/>
      </w:tblGrid>
      <w:tr w:rsidR="008E53E4" w:rsidRPr="001657DE" w:rsidTr="0072188F">
        <w:trPr>
          <w:trHeight w:val="267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           Наименование доходов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Уточненный объем доходов  бюджета муниципального округа</w:t>
            </w:r>
            <w:proofErr w:type="gramStart"/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утвержденный на 01.01.2021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Фактический объем доходов бюджета муниципального округа  на 01.01.2021 года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% исполнения (гр.3/гр.2)</w:t>
            </w:r>
          </w:p>
        </w:tc>
      </w:tr>
      <w:tr w:rsidR="008E53E4" w:rsidRPr="001657DE" w:rsidTr="0072188F">
        <w:trPr>
          <w:trHeight w:val="34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53E4" w:rsidRPr="001657DE" w:rsidTr="0072188F">
        <w:trPr>
          <w:trHeight w:val="60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ДОХОДЫ, всего: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21 277,1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23957,3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112,6%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Налоговые доходы, в т.ч.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17 562,7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19191,4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109,3%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11 392,2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12851,3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112,8%</w:t>
            </w:r>
          </w:p>
        </w:tc>
      </w:tr>
      <w:tr w:rsidR="008E53E4" w:rsidRPr="001657DE" w:rsidTr="0072188F">
        <w:trPr>
          <w:trHeight w:val="62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Акцизы, реализуемые на территории РФ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2 841,2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2841,3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8E53E4" w:rsidRPr="001657DE" w:rsidTr="0072188F">
        <w:trPr>
          <w:trHeight w:val="62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1 240,0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1347,1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108,6%</w:t>
            </w:r>
          </w:p>
        </w:tc>
      </w:tr>
      <w:tr w:rsidR="008E53E4" w:rsidRPr="001657DE" w:rsidTr="0072188F">
        <w:trPr>
          <w:trHeight w:val="93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8E53E4" w:rsidRPr="001657DE" w:rsidTr="0072188F">
        <w:trPr>
          <w:trHeight w:val="62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налог при патентной системе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101,2%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133,3%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218,8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364,3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364,3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1 011,5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268,0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329,9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123,1%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3 714,4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4765,9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128,3%</w:t>
            </w:r>
          </w:p>
        </w:tc>
      </w:tr>
      <w:tr w:rsidR="008E53E4" w:rsidRPr="001657DE" w:rsidTr="0072188F">
        <w:trPr>
          <w:trHeight w:val="62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proofErr w:type="gramStart"/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полученные в виде арендной платы за земельные участки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634,0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856,3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135,1%</w:t>
            </w:r>
          </w:p>
        </w:tc>
      </w:tr>
      <w:tr w:rsidR="008E53E4" w:rsidRPr="001657DE" w:rsidTr="0072188F">
        <w:trPr>
          <w:trHeight w:val="70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прочие доходы от использования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367,9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446,5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121,4%</w:t>
            </w:r>
          </w:p>
        </w:tc>
      </w:tr>
      <w:tr w:rsidR="008E53E4" w:rsidRPr="001657DE" w:rsidTr="0072188F">
        <w:trPr>
          <w:trHeight w:val="62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477,9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705,5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147,6%</w:t>
            </w:r>
          </w:p>
        </w:tc>
      </w:tr>
      <w:tr w:rsidR="008E53E4" w:rsidRPr="001657DE" w:rsidTr="0072188F">
        <w:trPr>
          <w:trHeight w:val="62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524,2%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1 387,8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1449,9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104,5%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компенсации затрат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564,3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564,3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8E53E4" w:rsidRPr="001657DE" w:rsidTr="0072188F">
        <w:trPr>
          <w:trHeight w:val="62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Доходы от продажи имущества и земельных участков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0,0%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Штрафы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348,2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7254,2%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E53E4" w:rsidRPr="001657DE" w:rsidTr="0072188F">
        <w:trPr>
          <w:trHeight w:val="60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Безвозмездные поступления (без внутренних оборотов),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76 884,4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75667,9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98,4%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29 130,3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29130,3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38 380,5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37328,5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97,3%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8 017,9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7853,4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97,9%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1 310,7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1310,7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Прочие 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0,0%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 Возврат остатков субсидий, субвенций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0,0%</w:t>
            </w:r>
          </w:p>
        </w:tc>
      </w:tr>
      <w:tr w:rsidR="008E53E4" w:rsidRPr="001657DE" w:rsidTr="0072188F">
        <w:trPr>
          <w:trHeight w:val="310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3E4" w:rsidRPr="001657DE" w:rsidRDefault="008E53E4" w:rsidP="004A39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доходов: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98 161,5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99625,2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3E4" w:rsidRPr="001657DE" w:rsidRDefault="008E53E4" w:rsidP="004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DE">
              <w:rPr>
                <w:rFonts w:ascii="Times New Roman" w:hAnsi="Times New Roman" w:cs="Times New Roman"/>
                <w:sz w:val="28"/>
                <w:szCs w:val="28"/>
              </w:rPr>
              <w:t>101,5%</w:t>
            </w:r>
          </w:p>
        </w:tc>
      </w:tr>
    </w:tbl>
    <w:p w:rsidR="008E53E4" w:rsidRPr="001657DE" w:rsidRDefault="008E53E4" w:rsidP="008E53E4">
      <w:pPr>
        <w:ind w:right="-1" w:hanging="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657DE">
        <w:rPr>
          <w:rFonts w:ascii="Times New Roman" w:hAnsi="Times New Roman" w:cs="Times New Roman"/>
          <w:sz w:val="28"/>
          <w:szCs w:val="28"/>
        </w:rPr>
        <w:t xml:space="preserve">Изменения по бюджетным назначениям бюджета </w:t>
      </w:r>
      <w:proofErr w:type="spellStart"/>
      <w:r w:rsidRPr="001657DE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1657DE">
        <w:rPr>
          <w:rFonts w:ascii="Times New Roman" w:hAnsi="Times New Roman" w:cs="Times New Roman"/>
          <w:sz w:val="28"/>
          <w:szCs w:val="28"/>
        </w:rPr>
        <w:t xml:space="preserve"> городского округа вносились в течение 2020 года 10 раз (05.02.2020 № 15/95; 28.02.2020 № </w:t>
      </w:r>
      <w:r w:rsidRPr="001657DE">
        <w:rPr>
          <w:rFonts w:ascii="Times New Roman" w:hAnsi="Times New Roman" w:cs="Times New Roman"/>
          <w:sz w:val="28"/>
          <w:szCs w:val="28"/>
        </w:rPr>
        <w:lastRenderedPageBreak/>
        <w:t xml:space="preserve">16/97; 25.03.2020 № 17/123; 08.04.2020 № 18/130; 27.05.2020 № 20/152; 10.06.2020 № 21/168; 19.08.2020 № 24/182; 14.10.2020 № 25/191; 25.11.2020 №27/202; 23.12.2020 № 29/218). Общая сумма поправок составила в сторону уменьшения </w:t>
      </w:r>
      <w:r w:rsidRPr="001657DE">
        <w:rPr>
          <w:rFonts w:ascii="Times New Roman" w:hAnsi="Times New Roman" w:cs="Times New Roman"/>
          <w:b/>
          <w:sz w:val="28"/>
          <w:szCs w:val="28"/>
        </w:rPr>
        <w:t>1 150,5 тыс</w:t>
      </w:r>
      <w:proofErr w:type="gramStart"/>
      <w:r w:rsidRPr="001657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b/>
          <w:sz w:val="28"/>
          <w:szCs w:val="28"/>
        </w:rPr>
        <w:t>уб</w:t>
      </w:r>
      <w:r w:rsidRPr="001657DE">
        <w:rPr>
          <w:rFonts w:ascii="Times New Roman" w:hAnsi="Times New Roman" w:cs="Times New Roman"/>
          <w:sz w:val="28"/>
          <w:szCs w:val="28"/>
        </w:rPr>
        <w:t>., в том числе за счет :</w:t>
      </w:r>
    </w:p>
    <w:p w:rsidR="008E53E4" w:rsidRPr="001657DE" w:rsidRDefault="008E53E4" w:rsidP="008E53E4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67" w:right="-1" w:firstLine="18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налоговых и неналоговых доходов в сумме </w:t>
      </w:r>
      <w:r w:rsidRPr="001657DE">
        <w:rPr>
          <w:rFonts w:ascii="Times New Roman" w:hAnsi="Times New Roman" w:cs="Times New Roman"/>
          <w:b/>
          <w:sz w:val="28"/>
          <w:szCs w:val="28"/>
        </w:rPr>
        <w:t>– 5 890,0 тыс</w:t>
      </w:r>
      <w:proofErr w:type="gramStart"/>
      <w:r w:rsidRPr="001657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b/>
          <w:sz w:val="28"/>
          <w:szCs w:val="28"/>
        </w:rPr>
        <w:t>уб</w:t>
      </w:r>
      <w:r w:rsidRPr="001657DE"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8E53E4" w:rsidRPr="001657DE" w:rsidRDefault="008E53E4" w:rsidP="008E53E4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67" w:firstLine="18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дотации из областного бюджета в сумме</w:t>
      </w:r>
      <w:r w:rsidRPr="001657DE">
        <w:rPr>
          <w:rFonts w:ascii="Times New Roman" w:hAnsi="Times New Roman" w:cs="Times New Roman"/>
          <w:b/>
          <w:sz w:val="28"/>
          <w:szCs w:val="28"/>
        </w:rPr>
        <w:t xml:space="preserve"> + 2994,3 </w:t>
      </w:r>
      <w:proofErr w:type="spellStart"/>
      <w:r w:rsidRPr="001657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1657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1657DE">
        <w:rPr>
          <w:rFonts w:ascii="Times New Roman" w:hAnsi="Times New Roman" w:cs="Times New Roman"/>
          <w:sz w:val="28"/>
          <w:szCs w:val="28"/>
        </w:rPr>
        <w:t>;</w:t>
      </w:r>
    </w:p>
    <w:p w:rsidR="008E53E4" w:rsidRPr="001657DE" w:rsidRDefault="008E53E4" w:rsidP="008E53E4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67" w:firstLine="18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субсидии из областного бюджета в сумме</w:t>
      </w:r>
      <w:r w:rsidRPr="001657DE">
        <w:rPr>
          <w:rFonts w:ascii="Times New Roman" w:hAnsi="Times New Roman" w:cs="Times New Roman"/>
          <w:b/>
          <w:sz w:val="28"/>
          <w:szCs w:val="28"/>
        </w:rPr>
        <w:t xml:space="preserve"> + 389,6 </w:t>
      </w:r>
      <w:proofErr w:type="spellStart"/>
      <w:r w:rsidRPr="001657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1657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1657DE">
        <w:rPr>
          <w:rFonts w:ascii="Times New Roman" w:hAnsi="Times New Roman" w:cs="Times New Roman"/>
          <w:sz w:val="28"/>
          <w:szCs w:val="28"/>
        </w:rPr>
        <w:t>;</w:t>
      </w:r>
    </w:p>
    <w:p w:rsidR="008E53E4" w:rsidRPr="001657DE" w:rsidRDefault="008E53E4" w:rsidP="008E53E4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67" w:firstLine="18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субвенции из областного бюджета в сумме </w:t>
      </w:r>
      <w:r w:rsidRPr="001657DE">
        <w:rPr>
          <w:rFonts w:ascii="Times New Roman" w:hAnsi="Times New Roman" w:cs="Times New Roman"/>
          <w:b/>
          <w:sz w:val="28"/>
          <w:szCs w:val="28"/>
        </w:rPr>
        <w:t>+1,1</w:t>
      </w:r>
      <w:r w:rsidRPr="00165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57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1657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1657DE">
        <w:rPr>
          <w:rFonts w:ascii="Times New Roman" w:hAnsi="Times New Roman" w:cs="Times New Roman"/>
          <w:b/>
          <w:sz w:val="28"/>
          <w:szCs w:val="28"/>
        </w:rPr>
        <w:t>;</w:t>
      </w:r>
    </w:p>
    <w:p w:rsidR="008E53E4" w:rsidRPr="001657DE" w:rsidRDefault="008E53E4" w:rsidP="008E53E4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67" w:firstLine="18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1657DE">
        <w:rPr>
          <w:rFonts w:ascii="Times New Roman" w:hAnsi="Times New Roman" w:cs="Times New Roman"/>
          <w:b/>
          <w:sz w:val="28"/>
          <w:szCs w:val="28"/>
        </w:rPr>
        <w:t xml:space="preserve"> + 1 309,5 тыс</w:t>
      </w:r>
      <w:proofErr w:type="gramStart"/>
      <w:r w:rsidRPr="001657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b/>
          <w:sz w:val="28"/>
          <w:szCs w:val="28"/>
        </w:rPr>
        <w:t>уб.;</w:t>
      </w:r>
    </w:p>
    <w:p w:rsidR="008E53E4" w:rsidRPr="001657DE" w:rsidRDefault="008E53E4" w:rsidP="008E53E4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67" w:firstLine="18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прочие безвозмездные поступления</w:t>
      </w:r>
      <w:r w:rsidRPr="001657DE">
        <w:rPr>
          <w:rFonts w:ascii="Times New Roman" w:hAnsi="Times New Roman" w:cs="Times New Roman"/>
          <w:b/>
          <w:sz w:val="28"/>
          <w:szCs w:val="28"/>
        </w:rPr>
        <w:t xml:space="preserve"> +45,0 тыс</w:t>
      </w:r>
      <w:proofErr w:type="gramStart"/>
      <w:r w:rsidRPr="001657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b/>
          <w:sz w:val="28"/>
          <w:szCs w:val="28"/>
        </w:rPr>
        <w:t>уб.</w:t>
      </w:r>
    </w:p>
    <w:p w:rsidR="008E53E4" w:rsidRPr="001657DE" w:rsidRDefault="008E53E4" w:rsidP="008E53E4">
      <w:pPr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По состоянию на 01.01.2021 года по бюджету </w:t>
      </w:r>
      <w:proofErr w:type="spellStart"/>
      <w:r w:rsidRPr="001657DE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1657DE">
        <w:rPr>
          <w:rFonts w:ascii="Times New Roman" w:hAnsi="Times New Roman" w:cs="Times New Roman"/>
          <w:sz w:val="28"/>
          <w:szCs w:val="28"/>
        </w:rPr>
        <w:t xml:space="preserve"> городского округа числится недоимка в сумме 762,5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Наибольшие суммы недоимки 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: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-  земельному налогу 124,2 тыс. руб.;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 - арендной плате за землю 172,6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уб.;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-  налогу на имущество физических лиц 162,7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уб.;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- НДФЛ – 36,2 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уб.;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- прочие доходы от использования имущества (за </w:t>
      </w:r>
      <w:proofErr w:type="spellStart"/>
      <w:r w:rsidRPr="001657DE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1657DE">
        <w:rPr>
          <w:rFonts w:ascii="Times New Roman" w:hAnsi="Times New Roman" w:cs="Times New Roman"/>
          <w:sz w:val="28"/>
          <w:szCs w:val="28"/>
        </w:rPr>
        <w:t xml:space="preserve"> жилого помещения) 200,2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 По сравнению с началом года вся недоимка уменьшилась  на 412,6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 , в основном по упрощенной системе налогообложения и земельному налогу.</w:t>
      </w:r>
    </w:p>
    <w:p w:rsidR="008E53E4" w:rsidRPr="001657DE" w:rsidRDefault="008E53E4" w:rsidP="008E53E4">
      <w:pPr>
        <w:ind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57DE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Pr="001657DE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1657DE">
        <w:rPr>
          <w:rFonts w:ascii="Times New Roman" w:hAnsi="Times New Roman" w:cs="Times New Roman"/>
          <w:sz w:val="28"/>
          <w:szCs w:val="28"/>
        </w:rPr>
        <w:t xml:space="preserve"> муниципального округа проводится определенная работа по снижению недоимки. За 2020 год  проведено 6 заседаний межведомственной координационной комиссии  по обеспечению поступления налоговых и неналоговых платежей в бюджет, по вопросам формирования налоговой базы по земельному налогу, легализации заработной платы. </w:t>
      </w:r>
    </w:p>
    <w:p w:rsidR="008E53E4" w:rsidRPr="001657DE" w:rsidRDefault="008E53E4" w:rsidP="008E53E4">
      <w:pPr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         Поступило в доход бюджетов  в результате работы комиссии: 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- по налоговым и неналоговым доходам  147,8 тыс. руб. из суммы задолженности 187,1 тыс. руб. по явившимся на комиссию должникам и </w:t>
      </w:r>
      <w:proofErr w:type="spellStart"/>
      <w:r w:rsidRPr="001657DE">
        <w:rPr>
          <w:rFonts w:ascii="Times New Roman" w:hAnsi="Times New Roman" w:cs="Times New Roman"/>
          <w:sz w:val="28"/>
          <w:szCs w:val="28"/>
        </w:rPr>
        <w:t>неявившимся</w:t>
      </w:r>
      <w:proofErr w:type="spellEnd"/>
      <w:r w:rsidRPr="001657DE">
        <w:rPr>
          <w:rFonts w:ascii="Times New Roman" w:hAnsi="Times New Roman" w:cs="Times New Roman"/>
          <w:sz w:val="28"/>
          <w:szCs w:val="28"/>
        </w:rPr>
        <w:t>, но добровольно уплатившим недоимку (без учета сумм по страховым взносам);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>- по 46 направленным  претензиям от имени межведомственной координационной комиссии  по обеспечению поступления налоговых и неналоговых платежей в бюджет, по вопросам формирования налоговой базы по земельному налогу, легализации заработной платы на сумму 72,9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уб., поступило в доход бюджета по 23 претензиям 37,7 тыс.руб.;</w:t>
      </w:r>
    </w:p>
    <w:p w:rsidR="008E53E4" w:rsidRPr="001657DE" w:rsidRDefault="008E53E4" w:rsidP="008E53E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-  по 190 предупреждениям, направленным отделом земельно-имущественных отношений администрации </w:t>
      </w:r>
      <w:proofErr w:type="spellStart"/>
      <w:r w:rsidRPr="001657DE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1657DE">
        <w:rPr>
          <w:rFonts w:ascii="Times New Roman" w:hAnsi="Times New Roman" w:cs="Times New Roman"/>
          <w:sz w:val="28"/>
          <w:szCs w:val="28"/>
        </w:rPr>
        <w:t xml:space="preserve"> муниципального округа, для добровольного погашения задолженности  по арендной плате за землю и аренде имущества, из суммы задолженности 283,0 тыс. руб., недоимка погашена в сумме 275,4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>уб.</w:t>
      </w:r>
    </w:p>
    <w:p w:rsidR="008E53E4" w:rsidRPr="001657DE" w:rsidRDefault="008E53E4" w:rsidP="008E53E4">
      <w:pPr>
        <w:ind w:right="-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1657DE">
        <w:rPr>
          <w:rFonts w:ascii="Times New Roman" w:hAnsi="Times New Roman" w:cs="Times New Roman"/>
          <w:sz w:val="28"/>
          <w:szCs w:val="28"/>
        </w:rPr>
        <w:t xml:space="preserve">- в результате работы комиссии по легализации заработной платы, поступило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57DE">
        <w:rPr>
          <w:rFonts w:ascii="Times New Roman" w:hAnsi="Times New Roman" w:cs="Times New Roman"/>
          <w:sz w:val="28"/>
          <w:szCs w:val="28"/>
        </w:rPr>
        <w:t xml:space="preserve">НДФЛ в доход бюджетов (по данным 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МРИ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 xml:space="preserve"> ФНС России № 10 по Кировской области) 33,5 тыс. руб.</w:t>
      </w:r>
    </w:p>
    <w:p w:rsidR="008E53E4" w:rsidRPr="001657DE" w:rsidRDefault="008E53E4" w:rsidP="008E53E4">
      <w:pPr>
        <w:ind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657DE">
        <w:rPr>
          <w:rFonts w:ascii="Times New Roman" w:hAnsi="Times New Roman" w:cs="Times New Roman"/>
          <w:sz w:val="28"/>
          <w:szCs w:val="28"/>
        </w:rPr>
        <w:t xml:space="preserve">            Всего за 2020 год  из всей суммы задолженности 543,0 тыс</w:t>
      </w:r>
      <w:proofErr w:type="gramStart"/>
      <w:r w:rsidRPr="001657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57DE">
        <w:rPr>
          <w:rFonts w:ascii="Times New Roman" w:hAnsi="Times New Roman" w:cs="Times New Roman"/>
          <w:sz w:val="28"/>
          <w:szCs w:val="28"/>
        </w:rPr>
        <w:t xml:space="preserve">уб. поступило  494,4 тыс.руб. 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540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бюджета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по расходам</w:t>
      </w:r>
    </w:p>
    <w:p w:rsidR="009F38AD" w:rsidRPr="003072A7" w:rsidRDefault="009A6D35">
      <w:pPr>
        <w:ind w:firstLine="540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Бюджет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 по расходам исполне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 xml:space="preserve">н  на 92,5%   при плане  101 592,0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кассовые расходы составили 93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939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 xml:space="preserve">,5 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Исполнение бюджета по разделам выглядит следующим образом: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i/>
          <w:color w:val="000000"/>
          <w:sz w:val="28"/>
          <w:szCs w:val="28"/>
        </w:rPr>
        <w:t>Общегосударственные вопросы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: кассовые расходы составили 37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478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 xml:space="preserve">,6 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при плановых назначениях  39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490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 xml:space="preserve">,9 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уб. или  94,9%. Основная причина неисполнения: расходы произведены под фактическую потребность от плановых назначений. Остались невостребованными средства на поддержку сельскохозяйственного производства, за исключением реализации мероприятий, предусмотренных федеральными целевыми программами в сумме 11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 xml:space="preserve">,8 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руб.; средства  на выполнение   предписаний  надзорных     органов в 2021  году в      сумме 1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048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 xml:space="preserve">,2 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руб. 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i/>
          <w:color w:val="000000"/>
          <w:sz w:val="28"/>
          <w:szCs w:val="28"/>
        </w:rPr>
        <w:t>Национальная безопасность и правоохранительная деятельность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:  кассовые расходы составили 3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925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 xml:space="preserve">,9 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при плановых назначениях  3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925</w:t>
      </w:r>
      <w:r w:rsidR="006F5387">
        <w:rPr>
          <w:rFonts w:ascii="Times New Roman" w:hAnsi="Times New Roman" w:cs="Times New Roman"/>
          <w:color w:val="000000"/>
          <w:sz w:val="28"/>
          <w:szCs w:val="28"/>
        </w:rPr>
        <w:t xml:space="preserve">,9 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руб. или  100%. 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i/>
          <w:color w:val="000000"/>
          <w:sz w:val="28"/>
          <w:szCs w:val="28"/>
        </w:rPr>
        <w:t>Национальная экономика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: кассовые расходы составили 14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341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,5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руб., при плановых назначениях 16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825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,1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руб. или 85,2%.   Основная причина не полного использования средств: 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        - по подразделу 0405 «Сельское хозяйство и рыболовство»   остались невостребованными средства на организацию и содержание скотомогильников в сумме 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>0,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   -  по подразделу 0408 «Транспорт» на организацию транспортного обслуживания населения в 2021 году в сумме 712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,6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9F38AD" w:rsidRPr="003072A7" w:rsidRDefault="009A6D35">
      <w:pPr>
        <w:jc w:val="both"/>
        <w:outlineLvl w:val="4"/>
        <w:rPr>
          <w:rFonts w:ascii="Times New Roman" w:eastAsia="Courier New" w:hAnsi="Times New Roman" w:cs="Times New Roman"/>
          <w:b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  - по  подразделу 0409 «Дорожное хозяйство»  не испол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ьзованы средства в сумме   1 771,0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рублей в том числе:</w:t>
      </w:r>
    </w:p>
    <w:p w:rsidR="009F38AD" w:rsidRPr="003072A7" w:rsidRDefault="009A6D35">
      <w:pPr>
        <w:jc w:val="both"/>
        <w:outlineLvl w:val="4"/>
        <w:rPr>
          <w:rFonts w:ascii="Times New Roman" w:eastAsia="Courier New" w:hAnsi="Times New Roman" w:cs="Times New Roman"/>
          <w:b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         - остаток средств на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грейдирование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 и чистку дорог – 673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,5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руб.; </w:t>
      </w:r>
    </w:p>
    <w:p w:rsidR="009F38AD" w:rsidRPr="003072A7" w:rsidRDefault="009A6D35">
      <w:pPr>
        <w:jc w:val="both"/>
        <w:outlineLvl w:val="4"/>
        <w:rPr>
          <w:rFonts w:ascii="Times New Roman" w:eastAsia="Courier New" w:hAnsi="Times New Roman" w:cs="Times New Roman"/>
          <w:b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  - кредиторская задолженность на 01.01.2021г. в сумме  1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097</w:t>
      </w:r>
      <w:r w:rsidR="00E50C5E">
        <w:rPr>
          <w:rFonts w:ascii="Times New Roman" w:hAnsi="Times New Roman" w:cs="Times New Roman"/>
          <w:color w:val="000000"/>
          <w:sz w:val="28"/>
          <w:szCs w:val="28"/>
        </w:rPr>
        <w:t xml:space="preserve">,4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i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i/>
          <w:color w:val="000000"/>
          <w:sz w:val="28"/>
          <w:szCs w:val="28"/>
        </w:rPr>
        <w:t>Жилищно-коммунальное хозяйство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: к</w:t>
      </w:r>
      <w:r w:rsidR="001204F9">
        <w:rPr>
          <w:rFonts w:ascii="Times New Roman" w:hAnsi="Times New Roman" w:cs="Times New Roman"/>
          <w:color w:val="000000"/>
          <w:sz w:val="28"/>
          <w:szCs w:val="28"/>
        </w:rPr>
        <w:t xml:space="preserve">ассовые расходы составили  5 280,0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при плановых назначениях 7</w:t>
      </w:r>
      <w:r w:rsidR="001204F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876</w:t>
      </w:r>
      <w:r w:rsidR="001204F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204F9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руб. или 67,0%. 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   Основная причина не полного использования средств: 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lastRenderedPageBreak/>
        <w:t>          - по подразделу 0501 «Жилищное хозяйство» кассовые расходы составили 0,0  руб. при плановых назначениях 130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,0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или 0,0% - работы по разработке схем теплоснабжения и водоснабжения округа будут произведены и оплачены в 1 квартале 2021 года;  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    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- по подразделу  0502 «Коммунальное хозяйство» кассовые расходы составили 5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134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при плановых назначениях 7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241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,0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или 70,9%, причина – средства самообложения граждан, в соответствии с решением схода граждан, оставлены для увеличения бюджетных ассигнований следующего финансового года, на мероприятия по содержанию и ремонту систем водоснабжения в сельских населенных пунктах в сумме 102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руб.; на оплату договоров со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сроком оплаты март 2021 года – 373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руб.; на ремонт имущества, находившегося в концессии – 1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630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,5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руб.;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   - по подразделу 0503 "Благоустройство": при плане  505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,3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руб., исполнение составило  145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,8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или 28,9%.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Причина – средства использованы под фактическую потребность,    средства самообложения в сумме 309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,5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руб. будут израсходованы на мероприятия по содержанию и ремонту систем водоснабжения в сельских населенных пунктах. 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             </w:t>
      </w:r>
      <w:r w:rsidRPr="003072A7">
        <w:rPr>
          <w:rFonts w:ascii="Times New Roman" w:hAnsi="Times New Roman" w:cs="Times New Roman"/>
          <w:i/>
          <w:color w:val="000000"/>
          <w:sz w:val="28"/>
          <w:szCs w:val="28"/>
        </w:rPr>
        <w:t>Охрана окружающей среды: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кассовые расходы составили 95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,8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при плановых назначениях 95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,9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или 99,9%.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 </w:t>
      </w:r>
      <w:r w:rsidRPr="003072A7">
        <w:rPr>
          <w:rFonts w:ascii="Times New Roman" w:hAnsi="Times New Roman" w:cs="Times New Roman"/>
          <w:i/>
          <w:color w:val="000000"/>
          <w:sz w:val="28"/>
          <w:szCs w:val="28"/>
        </w:rPr>
        <w:t>   Образование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: кассовые расходы составили 14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407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,2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при плановых назначениях 14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475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>,7 тыс. р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уб. или  99,5%. Причина неисполнения -  средства израсходованы под фактическую потребность.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i/>
          <w:color w:val="000000"/>
          <w:sz w:val="28"/>
          <w:szCs w:val="28"/>
        </w:rPr>
        <w:t> Культура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:  при плане  13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846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,9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руб., исполнение составило 13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442</w:t>
      </w:r>
      <w:r w:rsidR="0054006D">
        <w:rPr>
          <w:rFonts w:ascii="Times New Roman" w:hAnsi="Times New Roman" w:cs="Times New Roman"/>
          <w:color w:val="000000"/>
          <w:sz w:val="28"/>
          <w:szCs w:val="28"/>
        </w:rPr>
        <w:t xml:space="preserve">,7 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руб. или 97,1%. Основная причина – остаток средств на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ремонтных работ в Доме культуры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>шлань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в 2021 году; средства израсходованы под фактическую потребность.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i/>
          <w:color w:val="000000"/>
          <w:sz w:val="28"/>
          <w:szCs w:val="28"/>
        </w:rPr>
        <w:t> Здравоохранение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: кассовый расход – 154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,9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при плановых назначениях 154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,9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или  на 100,0 %.</w:t>
      </w:r>
    </w:p>
    <w:p w:rsidR="009F38AD" w:rsidRPr="003072A7" w:rsidRDefault="003506BE" w:rsidP="003506BE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9A6D35" w:rsidRPr="003072A7">
        <w:rPr>
          <w:rFonts w:ascii="Times New Roman" w:hAnsi="Times New Roman" w:cs="Times New Roman"/>
          <w:i/>
          <w:color w:val="000000"/>
          <w:sz w:val="28"/>
          <w:szCs w:val="28"/>
        </w:rPr>
        <w:t>  Социальная политика</w:t>
      </w:r>
      <w:r w:rsidR="009A6D35" w:rsidRPr="003072A7">
        <w:rPr>
          <w:rFonts w:ascii="Times New Roman" w:hAnsi="Times New Roman" w:cs="Times New Roman"/>
          <w:color w:val="000000"/>
          <w:sz w:val="28"/>
          <w:szCs w:val="28"/>
        </w:rPr>
        <w:t>: кассовый расход – 4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6D35" w:rsidRPr="003072A7">
        <w:rPr>
          <w:rFonts w:ascii="Times New Roman" w:hAnsi="Times New Roman" w:cs="Times New Roman"/>
          <w:color w:val="000000"/>
          <w:sz w:val="28"/>
          <w:szCs w:val="28"/>
        </w:rPr>
        <w:t>767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,9 тыс. </w:t>
      </w:r>
      <w:r w:rsidR="009A6D35" w:rsidRPr="003072A7">
        <w:rPr>
          <w:rFonts w:ascii="Times New Roman" w:hAnsi="Times New Roman" w:cs="Times New Roman"/>
          <w:color w:val="000000"/>
          <w:sz w:val="28"/>
          <w:szCs w:val="28"/>
        </w:rPr>
        <w:t>руб. при плановых назначениях 4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6D35" w:rsidRPr="003072A7">
        <w:rPr>
          <w:rFonts w:ascii="Times New Roman" w:hAnsi="Times New Roman" w:cs="Times New Roman"/>
          <w:color w:val="000000"/>
          <w:sz w:val="28"/>
          <w:szCs w:val="28"/>
        </w:rPr>
        <w:t>855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,2 тыс. </w:t>
      </w:r>
      <w:r w:rsidR="009A6D35"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руб. или  на 98,2 %. Основная причина -  кассовые расходы произведены под фактическую потребность. Остались неосвоенными следующие  субвенции: 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          по частичной компенсации расходов на оплату жилого помещения и коммунальных услуг в  виде  ежемесячной денежной выплаты – 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0,7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руб.;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         по возмещению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работающим и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"Об образовании в Кировской области" – 22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,6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руб.;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  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начислению и выплате ежемесячного вознаграждения, причитающегося приемным родителям – 6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,6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руб.;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  по начислению и выплате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 – 57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,3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3072A7">
        <w:rPr>
          <w:rFonts w:ascii="Times New Roman" w:hAnsi="Times New Roman" w:cs="Times New Roman"/>
          <w:i/>
          <w:color w:val="000000"/>
          <w:sz w:val="28"/>
          <w:szCs w:val="28"/>
        </w:rPr>
        <w:t>Физическая культура и спорт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: кассовый расход составил 45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,1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при плановом  назначении –   45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,1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руб. исполнение -  100%. 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  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Уточнённые ассигнования на реализацию программ составили 100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882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,7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руб. и составляют 100% от утвержденных расходов местного бюджета за исключением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непрограммных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направлений деятельности. Освоение бюджетных средств по муниципальным программам составило  93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324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,6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 или  92,5%.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Муниципального долга на 1 января 2021 года нет. Бюджетные кредиты в 2020 году округом не привлекались, муниципальные гарантии не предоставлялись.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При плановом дефиците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 бюджета, сложившегося в течение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2020 года в сумме 3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430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,5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руб.,</w:t>
      </w:r>
      <w:r w:rsidRPr="003072A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</w:t>
      </w:r>
      <w:r w:rsidRPr="003072A7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актически по итогам года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профицит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в сумме 5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685</w:t>
      </w:r>
      <w:r w:rsidR="003506BE">
        <w:rPr>
          <w:rFonts w:ascii="Times New Roman" w:hAnsi="Times New Roman" w:cs="Times New Roman"/>
          <w:color w:val="000000"/>
          <w:sz w:val="28"/>
          <w:szCs w:val="28"/>
        </w:rPr>
        <w:t xml:space="preserve">,7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9F38AD" w:rsidRPr="003072A7" w:rsidRDefault="009A6D35">
      <w:pPr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               Раздел 4 «Анализ показателей финансовой отчетности  бюджета муниципального образования «</w:t>
      </w:r>
      <w:proofErr w:type="spellStart"/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Богородский</w:t>
      </w:r>
      <w:proofErr w:type="spellEnd"/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муниципальный округ»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     Остаток средств  на счете бюджета  по состоянию на 01.01.2021 года составляет 9 116 213,65 руб.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Из них остатки целевых средств составили 11800,00 руб., которые возвращены в январе 2021 года министерству  сельского хозяйства и продовольствия Кировской области  в том числе: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Субвенции бюджетам городских округов на выполнение передаваемых полномочий субъектов Российской Федерации (по поддержке сельскохозяйственного производства, за исключением реализации мероприятий, предусмотренных федеральными целевыми программами, в том числе на содержание органов местного самоуправления, осуществляющих государственные полномочия)</w:t>
      </w:r>
      <w:r w:rsidR="001D0A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-11800,00 руб.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       Всего за 2020 год в муниципальный округ из области поступило имущества балансовой стоимостью 738 554,32 руб. в том числе: </w:t>
      </w:r>
    </w:p>
    <w:p w:rsidR="009F38AD" w:rsidRPr="003072A7" w:rsidRDefault="009A6D35">
      <w:pPr>
        <w:ind w:firstLine="28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-Министерство имущественных отношений и инвестиционной политики Кировской области на сумму  349 000,00 руб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.(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>пианино)</w:t>
      </w:r>
    </w:p>
    <w:p w:rsidR="009F38AD" w:rsidRPr="003072A7" w:rsidRDefault="009A6D35">
      <w:pPr>
        <w:ind w:firstLine="28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- Министерство промышленной политики Кировской области </w:t>
      </w:r>
    </w:p>
    <w:p w:rsidR="009F38AD" w:rsidRPr="003072A7" w:rsidRDefault="009A6D35">
      <w:pPr>
        <w:ind w:firstLine="28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на сумму  63 700,00 руб. (термометр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безконтактный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13 шт.)</w:t>
      </w:r>
    </w:p>
    <w:p w:rsidR="009F38AD" w:rsidRPr="003072A7" w:rsidRDefault="009A6D35">
      <w:pPr>
        <w:ind w:firstLine="28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на сумму  308 954,00 руб. (средства индивидуальной защиты и дезинфекции)</w:t>
      </w:r>
    </w:p>
    <w:p w:rsidR="009F38AD" w:rsidRPr="003072A7" w:rsidRDefault="009A6D35">
      <w:pPr>
        <w:ind w:firstLine="28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от администрации  правительства Кировской области–  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сумму  1278,85 руб. (форменная одежда  народного дружинника-жилет 5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шт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F38AD" w:rsidRPr="003072A7" w:rsidRDefault="009A6D35">
      <w:pPr>
        <w:ind w:firstLine="28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eastAsia="Courier New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28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от КОГУНБ им.А.И. Герцена –  на сумму  11 079,12 руб. (книги).</w:t>
      </w:r>
    </w:p>
    <w:p w:rsidR="009F38AD" w:rsidRPr="003072A7" w:rsidRDefault="009A6D35">
      <w:pPr>
        <w:ind w:firstLine="28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от Благотворительного фонда Наследие Вятк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и-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на сумму  5821,20 руб. (книги).</w:t>
      </w:r>
    </w:p>
    <w:p w:rsidR="009F38AD" w:rsidRPr="003072A7" w:rsidRDefault="009A6D35">
      <w:pPr>
        <w:ind w:firstLine="28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ind w:firstLine="28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    В 2020 году  передача объектов нефинансовых активов  между учреждениями одного уровня бюджета произведена   на сумму 12 913 425,70 руб.  по балансовой стоимости. 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            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   Раздел 5 «Прочие вопросы деятельности бюджета муниципального образования «</w:t>
      </w:r>
      <w:proofErr w:type="spellStart"/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Богородский</w:t>
      </w:r>
      <w:proofErr w:type="spellEnd"/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муниципальный округ»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      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За  2020 год  проведено  8 контрольных мероприятий, в том числе:</w:t>
      </w:r>
    </w:p>
    <w:p w:rsidR="009F38AD" w:rsidRPr="003072A7" w:rsidRDefault="009A6D35">
      <w:pPr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3 ревизии финансово-хозяйственной деятельности; </w:t>
      </w:r>
    </w:p>
    <w:p w:rsidR="009F38AD" w:rsidRPr="003072A7" w:rsidRDefault="009A6D35">
      <w:pPr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4 проверки соблюдения требований  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9F38AD" w:rsidRPr="003072A7" w:rsidRDefault="009A6D35">
      <w:pPr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1 проверка по  отдельным вопросам финансово-хозяйственной деятельности.</w:t>
      </w:r>
    </w:p>
    <w:p w:rsidR="009F38AD" w:rsidRPr="003072A7" w:rsidRDefault="009A6D35">
      <w:pPr>
        <w:spacing w:line="48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   В  2020 году  план проверок  выполнен на 80%, т. е. из 10 запланированных контрольных мероприятий проведено 8. На невыполнение плановых контрольных мероприятий повлияли ограничения в связи с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инфекцией.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         Проверенный объём средств по внутреннему муниципальному финансовому контролю составил </w:t>
      </w: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16 678,9 тыс.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рублей. Всего выявлено 17 суммовых нарушений  на  сумму </w:t>
      </w: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1 116,4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тыс</w:t>
      </w: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3072A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рублей, в том числе:</w:t>
      </w:r>
    </w:p>
    <w:p w:rsidR="009F38AD" w:rsidRPr="003072A7" w:rsidRDefault="009A6D35">
      <w:pPr>
        <w:numPr>
          <w:ilvl w:val="0"/>
          <w:numId w:val="2"/>
        </w:numPr>
        <w:spacing w:line="360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946,6 тыс.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рублей – финансовые нарушения бюджетного законодательства, в том числе: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 два нарушения указаний  о порядке  применения  бюджетной классификации на сумму 788,5 тыс. рублей  (нарушение методологии  применения бюджетной классификации получателями бюджетных сре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дств пр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>и расходовании бюджетных средств);  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   шесть  нарушений при исполнении бюджета по расходам на сумму 128,8 тыс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>ублей (неправомерное  начисление  заработной платы на сумму 82,8 тыс.рублей,  неправильное формирование тарификационных списков, спровоцировавшее  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недоначисление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заработной платы на сумму 45,6 тыс.рублей,  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недоначисление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командировочных расходов на сумму 0,4 тысячи рублей) ;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  два нарушения при расходовании денежных средств на сумму 28,8 тыс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>ублей (необоснованное  выделение средств при отсутствии оснований, предусмотренных нормативными документами );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 одно нарушение по неэффективному использованию денежных средств и нефинансовых активов на сумму 0,5 тыс. рублей (непринятие мер по взысканию долгосрочной дебиторской задолженности).</w:t>
      </w:r>
    </w:p>
    <w:p w:rsidR="009F38AD" w:rsidRPr="003072A7" w:rsidRDefault="009A6D35">
      <w:pPr>
        <w:numPr>
          <w:ilvl w:val="0"/>
          <w:numId w:val="3"/>
        </w:numPr>
        <w:spacing w:line="360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b/>
          <w:color w:val="000000"/>
          <w:sz w:val="28"/>
          <w:szCs w:val="28"/>
        </w:rPr>
        <w:t>170,0 тыс.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 рублей – нарушения правил ведения бюджетного учёта и составления бюджетной отчётности, в том числе: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-  пять нарушений правил ведения бюджетного учёта на сумму 168,6 тыс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>ублей (несоответствие показателей регистров  бухгалтерского учёта первичным учётным документам на сумму 32,5 тыс.рублей, неправильно отражённы бухгалтерские операции на счетах бюджетного учёта на сумму 45,8 тыс.рублей,   несвоевременное отражение финансово-хозяйственных операций на соответствующих счетах бюджетного учёта на сумму  90,3 тыс.рублей);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одно нарушение правил  составления бюджетной отчётности на сумму 1,4 тыс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>ублей (несоответствие между собой  одноимённых показателей отдельных форм отчётности).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Часть  выявленных нарушений в ходе контрольных мероприятий составляют не суммовые нарушения  (27), т.е. нарушения законодательства и иных нормативных правовых актов,  таких как:</w:t>
      </w:r>
    </w:p>
    <w:p w:rsidR="009F38AD" w:rsidRPr="003072A7" w:rsidRDefault="009A6D35">
      <w:pPr>
        <w:numPr>
          <w:ilvl w:val="0"/>
          <w:numId w:val="4"/>
        </w:numPr>
        <w:spacing w:line="360" w:lineRule="auto"/>
        <w:jc w:val="both"/>
        <w:rPr>
          <w:rFonts w:ascii="Times New Roman" w:eastAsia="Wingdings" w:hAnsi="Times New Roman" w:cs="Times New Roman"/>
          <w:b/>
          <w:color w:val="000000"/>
          <w:sz w:val="28"/>
          <w:szCs w:val="28"/>
        </w:rPr>
      </w:pPr>
      <w:r w:rsidRPr="003072A7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 приказа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9F38AD" w:rsidRPr="003072A7" w:rsidRDefault="009A6D35">
      <w:pPr>
        <w:numPr>
          <w:ilvl w:val="0"/>
          <w:numId w:val="4"/>
        </w:numPr>
        <w:spacing w:line="276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Нарушения 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>Гражданского кодекса Российской Федерации;  </w:t>
      </w:r>
    </w:p>
    <w:p w:rsidR="009F38AD" w:rsidRPr="003072A7" w:rsidRDefault="009A6D35">
      <w:pPr>
        <w:spacing w:line="276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numPr>
          <w:ilvl w:val="0"/>
          <w:numId w:val="5"/>
        </w:numPr>
        <w:spacing w:line="276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Нарушения Трудового кодекса РФ;</w:t>
      </w:r>
    </w:p>
    <w:p w:rsidR="009F38AD" w:rsidRPr="003072A7" w:rsidRDefault="009A6D35">
      <w:pPr>
        <w:spacing w:line="276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numPr>
          <w:ilvl w:val="0"/>
          <w:numId w:val="6"/>
        </w:numPr>
        <w:spacing w:line="360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Нарушение Приказа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22.12.2014 № 1601 «О продолжительности рабочего времен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>нормах часов педагогической работы за ставку заработной платы) педагогических работников и о порядке определения учебной нагрузки  педагогических работников, оговариваемой в трудовом договоре»;</w:t>
      </w:r>
    </w:p>
    <w:p w:rsidR="009F38AD" w:rsidRPr="003072A7" w:rsidRDefault="009A6D35">
      <w:pPr>
        <w:ind w:left="700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numPr>
          <w:ilvl w:val="0"/>
          <w:numId w:val="7"/>
        </w:numPr>
        <w:spacing w:line="276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Нарушение нормативных правовых актов органа местного самоуправления;</w:t>
      </w:r>
    </w:p>
    <w:p w:rsidR="009F38AD" w:rsidRPr="003072A7" w:rsidRDefault="009A6D35">
      <w:pPr>
        <w:spacing w:line="276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numPr>
          <w:ilvl w:val="0"/>
          <w:numId w:val="8"/>
        </w:numPr>
        <w:spacing w:line="276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Нарушение принятых локальных актов учреждений;</w:t>
      </w:r>
    </w:p>
    <w:p w:rsidR="009F38AD" w:rsidRPr="003072A7" w:rsidRDefault="009A6D35">
      <w:pPr>
        <w:spacing w:line="276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numPr>
          <w:ilvl w:val="0"/>
          <w:numId w:val="9"/>
        </w:numPr>
        <w:spacing w:line="360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Нарушения Инструкции по применению единого плана счетов     бухгалтерского учёта для органов государственной власти </w:t>
      </w:r>
      <w:r w:rsidRPr="003072A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утверждённой приказом </w:t>
      </w:r>
      <w:proofErr w:type="spellStart"/>
      <w:r w:rsidRPr="003072A7">
        <w:rPr>
          <w:rFonts w:ascii="Times New Roman" w:eastAsia="Times New Roman" w:hAnsi="Times New Roman" w:cs="Times New Roman"/>
          <w:color w:val="000000"/>
          <w:sz w:val="28"/>
          <w:szCs w:val="28"/>
        </w:rPr>
        <w:t>МинФина</w:t>
      </w:r>
      <w:proofErr w:type="spellEnd"/>
      <w:r w:rsidRPr="00307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01.12.2010 № 157н -</w:t>
      </w: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отсутствуют подписи главного бухгалтера и исполнителя  в журналах хозяйственных операций;</w:t>
      </w:r>
    </w:p>
    <w:p w:rsidR="009F38AD" w:rsidRPr="003072A7" w:rsidRDefault="009A6D35">
      <w:pPr>
        <w:spacing w:line="276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numPr>
          <w:ilvl w:val="0"/>
          <w:numId w:val="10"/>
        </w:numPr>
        <w:spacing w:line="360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Нарушения Методических рекомендаций по инвентаризации имущества и финансовых обязательств, утверждённые приказом Минфина от 13.06.1995 № 49;</w:t>
      </w:r>
    </w:p>
    <w:p w:rsidR="009F38AD" w:rsidRPr="003072A7" w:rsidRDefault="009A6D35">
      <w:pPr>
        <w:numPr>
          <w:ilvl w:val="0"/>
          <w:numId w:val="10"/>
        </w:numPr>
        <w:spacing w:line="360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Нарушения Федерального закона «О контрактной системе в сфере закупок товаров, работ, услуг для обеспечения государственных и муниципальных нужд» от 05.04.2013 № 44-ФЗ;</w:t>
      </w:r>
    </w:p>
    <w:p w:rsidR="009F38AD" w:rsidRPr="003072A7" w:rsidRDefault="009A6D35">
      <w:pPr>
        <w:numPr>
          <w:ilvl w:val="0"/>
          <w:numId w:val="10"/>
        </w:numPr>
        <w:spacing w:line="276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Нарушение  Федерального закона « Об образовании в  РФ» от 29.12.2012  273-ФЗ;</w:t>
      </w:r>
    </w:p>
    <w:p w:rsidR="009F38AD" w:rsidRPr="003072A7" w:rsidRDefault="009A6D35">
      <w:pPr>
        <w:spacing w:line="276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numPr>
          <w:ilvl w:val="0"/>
          <w:numId w:val="11"/>
        </w:numPr>
        <w:spacing w:line="360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Нарушение приказа Минтруда РСФСР № 2 от 22.11.1990 года  «Об утверждении  инструкции о порядке предоставления социальных гарантий и компенсаций лицам, работающим в районах крайнего севера и в местностях, приравненных к районам  крайнего севера»;</w:t>
      </w:r>
    </w:p>
    <w:p w:rsidR="009F38AD" w:rsidRPr="003072A7" w:rsidRDefault="009A6D35">
      <w:pPr>
        <w:spacing w:line="276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numPr>
          <w:ilvl w:val="0"/>
          <w:numId w:val="12"/>
        </w:numPr>
        <w:spacing w:line="360" w:lineRule="auto"/>
        <w:jc w:val="both"/>
        <w:rPr>
          <w:rFonts w:ascii="Times New Roman" w:eastAsia="Wingdings" w:hAnsi="Times New Roman" w:cs="Times New Roman"/>
          <w:color w:val="000000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Нарушение Федерального стандарта  бухгалтерского учёта  для организаций государственного сектора  «учётная политика, оценочные значения и ошибки», утверждённого приказом Минфина от 30.12.2017 № 274н.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По результатам  контрольных мероприятий  в три  проверенных учреждения направлены представления, на которые  получена информация по устранению выявленных нарушений, а так же принятия к сведению данных нарушений.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          По состоянию на 01.01.2021 года  в штате управления финансов администрации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  находится одна ставка ревизионного работника -  гл</w:t>
      </w:r>
      <w:proofErr w:type="gram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пециалист по контрольно-ревизионной работе управления финансов администрации </w:t>
      </w:r>
      <w:proofErr w:type="spellStart"/>
      <w:r w:rsidRPr="003072A7">
        <w:rPr>
          <w:rFonts w:ascii="Times New Roman" w:hAnsi="Times New Roman" w:cs="Times New Roman"/>
          <w:color w:val="000000"/>
          <w:sz w:val="28"/>
          <w:szCs w:val="28"/>
        </w:rPr>
        <w:t>Богородского</w:t>
      </w:r>
      <w:proofErr w:type="spellEnd"/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округа.  Штатная численность управления финансов  в  2020 году составила 12 штатных единиц, фактически занято 11 единиц. В осуществлении контрольных мероприятий принимали участие 4 специалиста управления финансов. </w:t>
      </w:r>
    </w:p>
    <w:p w:rsidR="009F38AD" w:rsidRPr="003072A7" w:rsidRDefault="009A6D35">
      <w:pPr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 xml:space="preserve">       Последнее повышение квалификации специалистом  по контролю  пройдено в сентябре 2016 года в Кировской областной организации общества «Знание» России по программе «Финансовый контроль и ревизия». 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  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      В составе годовой отчетности представлены с нулевыми цифровыми показателями следующие формы: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Ф.0503371- ввиду отсутствия  показателей по финансовым вложениям;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Ф.0503372 –ввиду отсутствия показателей по государственному  долгу;</w:t>
      </w:r>
    </w:p>
    <w:p w:rsidR="009F38AD" w:rsidRPr="003072A7" w:rsidRDefault="009A6D35">
      <w:pPr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Ф.490 - ввиду отсутствия показателей сведений о вложениях в объекты недвижимого имущества, объектах незавершенного строительства.</w:t>
      </w:r>
    </w:p>
    <w:p w:rsidR="009F38AD" w:rsidRPr="003072A7" w:rsidRDefault="009A6D35">
      <w:pPr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Ф.425 по атрибутам 120561000, 120561561, 120561661, 130111000, 130111710, 130111810, 130406000, 140110161, 140110189, 140140161 в виду отсутствия цифровых значений.</w:t>
      </w:r>
    </w:p>
    <w:p w:rsidR="009F38AD" w:rsidRPr="003072A7" w:rsidRDefault="009A6D35">
      <w:pPr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Ф.0503295- ввиду отсутствия показателей.</w:t>
      </w:r>
    </w:p>
    <w:p w:rsidR="009F38AD" w:rsidRPr="003072A7" w:rsidRDefault="009A6D35">
      <w:pPr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F38AD" w:rsidRPr="003072A7" w:rsidRDefault="009A6D35">
      <w:pPr>
        <w:rPr>
          <w:rFonts w:ascii="Times New Roman" w:eastAsia="Courier New" w:hAnsi="Times New Roman" w:cs="Times New Roman"/>
          <w:sz w:val="28"/>
          <w:szCs w:val="28"/>
        </w:rPr>
      </w:pPr>
      <w:r w:rsidRPr="003072A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Style w:val="10"/>
        <w:tblW w:w="0" w:type="auto"/>
        <w:tblInd w:w="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3043"/>
        <w:gridCol w:w="1387"/>
        <w:gridCol w:w="4138"/>
      </w:tblGrid>
      <w:tr w:rsidR="009F38AD" w:rsidRPr="003072A7">
        <w:trPr>
          <w:trHeight w:val="405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F38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Скорнякова Елена Викторовна</w:t>
            </w:r>
          </w:p>
        </w:tc>
      </w:tr>
      <w:tr w:rsidR="009F38AD" w:rsidRPr="003072A7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F38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9F38AD" w:rsidRPr="003072A7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планово-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F38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F38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8AD" w:rsidRPr="003072A7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экономической службы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9F38AD" w:rsidRPr="003072A7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38AD" w:rsidRPr="003072A7" w:rsidRDefault="009A6D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F38AD" w:rsidRPr="003072A7">
        <w:trPr>
          <w:trHeight w:val="405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F38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Шумихина Наталья Михайловна</w:t>
            </w:r>
          </w:p>
        </w:tc>
      </w:tr>
      <w:tr w:rsidR="009F38AD" w:rsidRPr="003072A7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F38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9F38AD" w:rsidRPr="003072A7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8AD" w:rsidRPr="003072A7" w:rsidRDefault="009A6D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2A7">
              <w:rPr>
                <w:rFonts w:ascii="Times New Roman" w:eastAsia="Times New Roman" w:hAnsi="Times New Roman" w:cs="Times New Roman"/>
                <w:sz w:val="28"/>
                <w:szCs w:val="28"/>
              </w:rPr>
              <w:t>"____"   ____________ 20____г.</w:t>
            </w:r>
          </w:p>
        </w:tc>
      </w:tr>
    </w:tbl>
    <w:p w:rsidR="009F38AD" w:rsidRDefault="009A6D35">
      <w:r>
        <w:rPr>
          <w:rFonts w:ascii="Times New Roman" w:eastAsia="Times New Roman" w:hAnsi="Times New Roman"/>
          <w:sz w:val="24"/>
        </w:rPr>
        <w:t xml:space="preserve">        </w:t>
      </w:r>
    </w:p>
    <w:sectPr w:rsidR="009F38AD" w:rsidSect="009A6D35">
      <w:pgSz w:w="12240" w:h="15840"/>
      <w:pgMar w:top="850" w:right="1133" w:bottom="1700" w:left="1133" w:header="708" w:footer="7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EB4F"/>
    <w:multiLevelType w:val="multilevel"/>
    <w:tmpl w:val="0175C0FC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">
    <w:nsid w:val="10A8BEE7"/>
    <w:multiLevelType w:val="multilevel"/>
    <w:tmpl w:val="0123C8DC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">
    <w:nsid w:val="155CF0F9"/>
    <w:multiLevelType w:val="multilevel"/>
    <w:tmpl w:val="02420FBC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3">
    <w:nsid w:val="33AE5644"/>
    <w:multiLevelType w:val="hybridMultilevel"/>
    <w:tmpl w:val="FA900EC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3893D220"/>
    <w:multiLevelType w:val="multilevel"/>
    <w:tmpl w:val="00528D9D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>
    <w:nsid w:val="3E31E64C"/>
    <w:multiLevelType w:val="multilevel"/>
    <w:tmpl w:val="02E6FA88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6">
    <w:nsid w:val="464208EF"/>
    <w:multiLevelType w:val="multilevel"/>
    <w:tmpl w:val="021ECECF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>
    <w:nsid w:val="48EFFB9D"/>
    <w:multiLevelType w:val="multilevel"/>
    <w:tmpl w:val="03154549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8">
    <w:nsid w:val="4E183DC2"/>
    <w:multiLevelType w:val="multilevel"/>
    <w:tmpl w:val="03BF6F99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9">
    <w:nsid w:val="4F73BB04"/>
    <w:multiLevelType w:val="multilevel"/>
    <w:tmpl w:val="01BAEC67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0">
    <w:nsid w:val="5DFCAB89"/>
    <w:multiLevelType w:val="multilevel"/>
    <w:tmpl w:val="03924FA4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>
    <w:nsid w:val="6045EB92"/>
    <w:multiLevelType w:val="multilevel"/>
    <w:tmpl w:val="0024CCC9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2">
    <w:nsid w:val="65EE1BDE"/>
    <w:multiLevelType w:val="hybridMultilevel"/>
    <w:tmpl w:val="3E4683A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>
    <w:nsid w:val="76CB6453"/>
    <w:multiLevelType w:val="multilevel"/>
    <w:tmpl w:val="014B3318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8"/>
  </w:num>
  <w:num w:numId="5">
    <w:abstractNumId w:val="5"/>
  </w:num>
  <w:num w:numId="6">
    <w:abstractNumId w:val="11"/>
  </w:num>
  <w:num w:numId="7">
    <w:abstractNumId w:val="4"/>
  </w:num>
  <w:num w:numId="8">
    <w:abstractNumId w:val="7"/>
  </w:num>
  <w:num w:numId="9">
    <w:abstractNumId w:val="13"/>
  </w:num>
  <w:num w:numId="10">
    <w:abstractNumId w:val="6"/>
  </w:num>
  <w:num w:numId="11">
    <w:abstractNumId w:val="1"/>
  </w:num>
  <w:num w:numId="12">
    <w:abstractNumId w:val="0"/>
  </w:num>
  <w:num w:numId="13">
    <w:abstractNumId w:val="1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000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compat>
    <w:adjustLineHeightInTable/>
  </w:compat>
  <w:rsids>
    <w:rsidRoot w:val="009A6D35"/>
    <w:rsid w:val="001204F9"/>
    <w:rsid w:val="00152DB6"/>
    <w:rsid w:val="001D0A4A"/>
    <w:rsid w:val="003072A7"/>
    <w:rsid w:val="003123A3"/>
    <w:rsid w:val="003203E3"/>
    <w:rsid w:val="003471B8"/>
    <w:rsid w:val="003506BE"/>
    <w:rsid w:val="0054006D"/>
    <w:rsid w:val="006F5387"/>
    <w:rsid w:val="0072188F"/>
    <w:rsid w:val="008C6556"/>
    <w:rsid w:val="008D4821"/>
    <w:rsid w:val="008E53E4"/>
    <w:rsid w:val="009A6D35"/>
    <w:rsid w:val="009F38AD"/>
    <w:rsid w:val="00B214F6"/>
    <w:rsid w:val="00E50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black" strokecolor="black" shadowcolor="black" extrusioncolor="black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38AD"/>
    <w:pPr>
      <w:pBdr>
        <w:top w:val="nil"/>
        <w:left w:val="nil"/>
        <w:bottom w:val="nil"/>
        <w:right w:val="nil"/>
      </w:pBdr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rsid w:val="009F38AD"/>
  </w:style>
  <w:style w:type="character" w:customStyle="1" w:styleId="1">
    <w:name w:val="Гиперссылка1"/>
    <w:rsid w:val="009F38AD"/>
    <w:rPr>
      <w:color w:val="0000FF"/>
      <w:u w:val="single"/>
    </w:rPr>
  </w:style>
  <w:style w:type="table" w:customStyle="1" w:styleId="10">
    <w:name w:val="Обычная таблица1"/>
    <w:rsid w:val="009F38AD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Простая таблица 11"/>
    <w:basedOn w:val="10"/>
    <w:rsid w:val="009F38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8E53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right="-908"/>
    </w:pPr>
    <w:rPr>
      <w:rFonts w:ascii="Times New Roman" w:eastAsia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rsid w:val="008E53E4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3684</Words>
  <Characters>21005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</dc:creator>
  <cp:lastModifiedBy>User7</cp:lastModifiedBy>
  <cp:revision>16</cp:revision>
  <dcterms:created xsi:type="dcterms:W3CDTF">2021-03-15T11:02:00Z</dcterms:created>
  <dcterms:modified xsi:type="dcterms:W3CDTF">2021-03-16T13:50:00Z</dcterms:modified>
</cp:coreProperties>
</file>